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12/20</w:t>
                  </w:r>
                  <w:r>
                    <w:rPr>
                      <w:rFonts w:ascii="Calibri" w:hAnsi="Calibri"/>
                      <w:b/>
                      <w:sz w:val="32"/>
                    </w:rPr>
                    <w:t>/2018- Meningioma Update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William C</w:t>
      </w:r>
      <w:r w:rsidRPr="00422F56">
        <w:rPr>
          <w:rFonts w:ascii="Calibri" w:hAnsi="Calibri"/>
          <w:i/>
        </w:rPr>
        <w:t xml:space="preserve"> Broaddus,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To</w:t>
      </w:r>
      <w:r w:rsidRPr="00422F56">
        <w:rPr>
          <w:rFonts w:ascii="Calibri" w:hAnsi="Calibri"/>
        </w:rPr>
        <w:t xml:space="preserve"> become familiar with recent developments in understanding molecular and genetic features of meningiomas.</w:t>
      </w:r>
    </w:p>
    <w:p w:rsidR="00561B2E" w:rsidRPr="00D345B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2 To become familiar with current understanding of radiation induced meningiomas and their epidemiology and molecular genetic features.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12/20</w:t>
      </w:r>
      <w:r w:rsidRPr="007B5356">
        <w:rPr>
          <w:rFonts w:ascii="Calibri" w:hAnsi="Calibri"/>
          <w:i/>
        </w:rPr>
        <w:t>/2018 6:00:00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VCU ACC6</w:t>
      </w:r>
      <w:r w:rsidRPr="007B5356">
        <w:rPr>
          <w:rFonts w:ascii="Calibri" w:hAnsi="Calibri"/>
          <w:i/>
        </w:rPr>
        <w:t xml:space="preserve"> Conference Room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1.25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