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2018 Anesthesiology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Grand Rounds - 12/27/2018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Paul P</w:t>
      </w:r>
      <w:r w:rsidRPr="00422F56">
        <w:rPr>
          <w:rFonts w:ascii="Calibri" w:hAnsi="Calibri"/>
          <w:i/>
        </w:rPr>
        <w:t xml:space="preserve"> Murphy,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recent safety events in the Anesthesiology Department</w:t>
      </w:r>
    </w:p>
    <w:p w:rsidRPr="00422F5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2 Identify particular events and times during a patient's hospital course when safety events most likely occur</w:t>
      </w:r>
    </w:p>
    <w:p w:rsidR="00561B2E" w:rsidRPr="00D345B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3 Discuss personal and environmental factors associated with safety events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12/27</w:t>
      </w:r>
      <w:r w:rsidRPr="007B5356">
        <w:rPr>
          <w:rFonts w:ascii="Calibri" w:hAnsi="Calibri"/>
          <w:i/>
        </w:rPr>
        <w:t>/2018 6:45:00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Ownership Interest-Abbott</w:t>
      </w:r>
      <w:r>
        <w:rPr>
          <w:rFonts w:ascii="Calibri" w:hAnsi="Calibri"/>
          <w:i/>
        </w:rPr>
        <w:t xml:space="preserve"> Laboratories|Ownership Interest-Amgen|Ownership Interest-Becton Dickinson|DuPont EI Nemours|Ownership Interest-Kimberly-Clark|Ownership Interest-Merck and Company, Inc.|Ownership Interest-Johnson and Johnson|Ownership Interest-Medtronic, Inc.|Ownership Interest-Hot Dog Temperature Management|Ownership Interest-Stryker|Ownership Interest-3M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