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2018 VA</w:t>
                  </w:r>
                  <w:r>
                    <w:rPr>
                      <w:rFonts w:ascii="Calibri" w:hAnsi="Calibri"/>
                      <w:b/>
                      <w:sz w:val="32"/>
                    </w:rPr>
                    <w:t xml:space="preserve"> Head and Neck Tumor Board - 12/27/2018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Andrew Heller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VA</w:t>
      </w:r>
      <w:r w:rsidRPr="00422F56">
        <w:rPr>
          <w:rFonts w:ascii="Calibri" w:hAnsi="Calibri"/>
          <w:i/>
        </w:rPr>
        <w:t xml:space="preserve"> Head and Neck Tumor Board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Acquire</w:t>
      </w:r>
      <w:r w:rsidRPr="00422F56">
        <w:rPr>
          <w:rFonts w:ascii="Calibri" w:hAnsi="Calibri"/>
        </w:rPr>
        <w:t xml:space="preserve"> knowledge, competence, and skills related to complex head &amp; neck cancers that will enable them to apply emerging or best practice techniques in the diagnosis and management of patients., 2 Identify current guidelines in order to provide optimal care to patients with complex head &amp; neck cancers., 3 Acquire knowledge, competence, and skills related to evolving radiologic imaging techniques for staging head &amp; neck cancers.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12/27</w:t>
      </w:r>
      <w:r w:rsidRPr="007B5356">
        <w:rPr>
          <w:rFonts w:ascii="Calibri" w:hAnsi="Calibri"/>
          <w:i/>
        </w:rPr>
        <w:t>/2018 11:00:00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